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52" w:rsidRPr="006E0154" w:rsidRDefault="000B5F52" w:rsidP="00DC598F">
      <w:pPr>
        <w:bidi/>
        <w:jc w:val="center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منشور حقوق </w:t>
      </w:r>
      <w:r w:rsidR="00DC598F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کارکنان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دربیمارستان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آنجائیکه توفیق خدمت به بیماران ونجات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جان انسانها در زمره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برترین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عبادات قرار داردو نجات جان یک انسان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سوی شارع مقدس با نجات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جان تمامی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انسانها برابر محسوب شده است و با توجه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به اینکه خدمت</w:t>
      </w:r>
      <w:r w:rsidR="000622E4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به بیماران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 نجات</w:t>
      </w:r>
      <w:r w:rsidR="000622E4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جان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انسانهاامری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واجب است منشور حقوق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کارکنان بیمارستان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تدوین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گردید تا با رعایت آن خدمت متناسب با </w:t>
      </w:r>
      <w:r w:rsidR="006044E5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شان و منزلت بیماران فراهم گردد </w:t>
      </w:r>
      <w:r w:rsidR="006044E5" w:rsidRPr="006E0154">
        <w:rPr>
          <w:rFonts w:asciiTheme="majorBidi" w:eastAsia="Calibri" w:hAnsiTheme="majorBidi" w:cstheme="majorBidi"/>
          <w:b/>
          <w:bCs/>
          <w:sz w:val="36"/>
          <w:szCs w:val="36"/>
        </w:rPr>
        <w:t>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 مصونیت از هرگونه تعرض و پرخاشگری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گف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تاری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رداری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 داشتن امنیت برای ایفای وظایف شغلی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اعم ازامنیت  مالی، جانی و شغلی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 حمایت ومساعدت قضایی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سوی مسئولین ،درمواردی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به سبب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انجام وظایف شغلی مورد پیگرد  قانونی قرارمی گیرند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 داشتن محیط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کاری عاری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خطرات ، ارعاب و دخالت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 حق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عدم مشارکت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در اقدامات غیراخلاقی و ناشایسته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پایبندی به قسم نامه های حرفه ای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در حدود  شرع  و قانون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 امتناع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ازانجام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دادن اعمال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خلاف اصول قواعد حرفه ای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موجب آسیب دیدن جسمی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یا   روحی بیمارمی شود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 حق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داشتن  محیط ایمن کاری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سازگاربامراقبت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کافی از بیمار بود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>ه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ومجهز تجهیزات مناسب  جهت  رفع  نیازهای فیزیکی و معنوی پرسنل  باشد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 استفاده از پوشش متناسب با فرهنگ  و موازین اسلامی و برخورداری ازآراستگی وانظباط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موجب عزت نفس ، احترام و نشاط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در همکاران و مراجعین می باشد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 حق رازداری، پرده پوشی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وحفظ اسرار بیماران ، همکاران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 سازمان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به عنوان  یک  وظیفه اخلاقی و قانونی می باشد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 مشارکت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درتعمیم سازی و تصمیم گیری وتشریک مساعی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در راستای تحقق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اهداف بیمارستان واجرای برنامه های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آن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 انجام وظیفه مطابق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با محدوده ای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که به طور قانونی به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وی اجازه  داده شده است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برخورداری ازسلوک مناسب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تکریم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ازسوی مسئولین ،کارکنان، ماموران دولتی، بازرسان، بیماران و همراهان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ایشان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رسیدگی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به مشکلات شغلی و پرسنلی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از طرف مقام مافوق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استفاده از حقوق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و مزایای پرسنلی طبق مقررات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حق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استفاده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از مرخصی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استحقاقی ، استعلاجی ومرخصی ساعتی طبق قانون و مقررات اداری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 حق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درخواست ارزشیابی مناسب ، تشویق وپاداش به منظور افزایش رضایت</w:t>
      </w:r>
      <w:r w:rsidR="00A05A8A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>ک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ارکنان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پرسنل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 دارند نسخه ای از شرح وظایف ، مسئولیتها ، حقوق</w:t>
      </w:r>
      <w:r w:rsidR="00397C1F" w:rsidRPr="006E015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وتکالیف خود را دریافت  و آموزشهای لازم برای انجام بهینه خدمت رافراگیرند 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کارکنان حق</w:t>
      </w:r>
      <w:r w:rsidR="00397C1F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دارند بدون تشریفات زائدبه  مدیران خوددسترسی</w:t>
      </w:r>
      <w:r w:rsidR="00397C1F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داشته باشند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کارکنان</w:t>
      </w:r>
      <w:r w:rsidR="00397C1F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 دارندازآموزشهای تخصصی جهت افزایش بهره وری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سازمانی برخوردار شوند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- پرسنل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حق</w:t>
      </w:r>
      <w:r w:rsidR="00397C1F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دارند فقط درمحدوده وظایف شغلی ، اطلاعات و راهنمایی های لازم و مناسب به ارباب رجوع  ارائه داده و در زمینه خدمت </w:t>
      </w:r>
      <w:r w:rsidRPr="006E0154">
        <w:rPr>
          <w:rFonts w:asciiTheme="majorBidi" w:hAnsiTheme="majorBidi" w:cstheme="majorBidi"/>
          <w:b/>
          <w:bCs/>
          <w:sz w:val="36"/>
          <w:szCs w:val="36"/>
          <w:rtl/>
        </w:rPr>
        <w:t>ش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فاف سازی کنند .</w:t>
      </w:r>
    </w:p>
    <w:p w:rsidR="000B5F52" w:rsidRPr="006E0154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- پرسنل بیمارستان حق دارنددرتبادل</w:t>
      </w:r>
      <w:r w:rsidR="005F6B37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>ارائه مراقبت مطلوب و موثر توقع احترام را از بیمارو همراهان وی داشته باشند .</w:t>
      </w:r>
    </w:p>
    <w:p w:rsidR="006044E5" w:rsidRPr="006E0154" w:rsidRDefault="000B5F52" w:rsidP="006044E5">
      <w:pPr>
        <w:bidi/>
        <w:jc w:val="center"/>
        <w:rPr>
          <w:rFonts w:asciiTheme="majorBidi" w:eastAsia="Calibri" w:hAnsiTheme="majorBidi" w:cstheme="majorBidi"/>
          <w:b/>
          <w:bCs/>
          <w:sz w:val="36"/>
          <w:szCs w:val="36"/>
          <w:rtl/>
        </w:rPr>
      </w:pP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- بر اساس ماده  607 قانون  تمرد نسبت به مامورین دولتی ،   608و 609  قانون هتک حرمت  اشخاص ، پرسنل بیمارستان در قبال تهدید و توهین </w:t>
      </w:r>
      <w:r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lastRenderedPageBreak/>
        <w:t>افراد از طرف  قانون حمایت می شوند .</w:t>
      </w:r>
      <w:r w:rsidR="006044E5" w:rsidRPr="006E0154">
        <w:rPr>
          <w:rFonts w:asciiTheme="majorBidi" w:eastAsia="Calibri" w:hAnsiTheme="majorBidi" w:cstheme="majorBidi"/>
          <w:b/>
          <w:bCs/>
          <w:sz w:val="36"/>
          <w:szCs w:val="36"/>
          <w:rtl/>
        </w:rPr>
        <w:t xml:space="preserve">                                                                                   دفتربهبودکیفیت</w:t>
      </w:r>
    </w:p>
    <w:p w:rsidR="000B5F52" w:rsidRPr="009C29F2" w:rsidRDefault="000B5F52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DC598F" w:rsidRPr="009C29F2" w:rsidRDefault="00DC598F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DC598F" w:rsidRPr="009C29F2" w:rsidRDefault="00DC598F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DC598F" w:rsidRPr="009C29F2" w:rsidRDefault="00DC598F" w:rsidP="006044E5">
      <w:pPr>
        <w:bidi/>
        <w:spacing w:line="360" w:lineRule="auto"/>
        <w:jc w:val="both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DC598F" w:rsidRPr="009C29F2" w:rsidRDefault="00DC598F" w:rsidP="00DC598F">
      <w:pPr>
        <w:bidi/>
        <w:jc w:val="right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9C29F2">
        <w:rPr>
          <w:rFonts w:asciiTheme="majorBidi" w:eastAsia="Calibri" w:hAnsiTheme="majorBidi" w:cstheme="majorBidi"/>
          <w:b/>
          <w:bCs/>
          <w:sz w:val="18"/>
          <w:szCs w:val="18"/>
          <w:rtl/>
        </w:rPr>
        <w:t>مرکزآموزشی،پژوهشی ودرمانی شهیدان مبینی</w:t>
      </w:r>
    </w:p>
    <w:p w:rsidR="000B5F52" w:rsidRPr="009C29F2" w:rsidRDefault="000B5F52" w:rsidP="000B5F52">
      <w:pPr>
        <w:bidi/>
        <w:jc w:val="both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sectPr w:rsidR="000B5F52" w:rsidRPr="009C29F2" w:rsidSect="00DC598F">
      <w:pgSz w:w="12240" w:h="15840"/>
      <w:pgMar w:top="1134" w:right="1440" w:bottom="1134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52"/>
    <w:rsid w:val="000622E4"/>
    <w:rsid w:val="000B5F52"/>
    <w:rsid w:val="00397C1F"/>
    <w:rsid w:val="004A7016"/>
    <w:rsid w:val="00576026"/>
    <w:rsid w:val="005F22D4"/>
    <w:rsid w:val="005F6B37"/>
    <w:rsid w:val="006044E5"/>
    <w:rsid w:val="006321BB"/>
    <w:rsid w:val="006E0154"/>
    <w:rsid w:val="00723474"/>
    <w:rsid w:val="00897B6C"/>
    <w:rsid w:val="009C29F2"/>
    <w:rsid w:val="00A05A8A"/>
    <w:rsid w:val="00C32034"/>
    <w:rsid w:val="00CB0DAF"/>
    <w:rsid w:val="00D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783B7-A733-43FA-A5C1-7DF93E0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F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ابراهیم آذری</cp:lastModifiedBy>
  <cp:revision>2</cp:revision>
  <cp:lastPrinted>2013-05-10T02:27:00Z</cp:lastPrinted>
  <dcterms:created xsi:type="dcterms:W3CDTF">2016-04-14T07:27:00Z</dcterms:created>
  <dcterms:modified xsi:type="dcterms:W3CDTF">2016-04-14T07:27:00Z</dcterms:modified>
</cp:coreProperties>
</file>